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before="200" w:line="276" w:lineRule="auto"/>
        <w:rPr>
          <w:rFonts w:ascii="Lora" w:cs="Lora" w:eastAsia="Lora" w:hAnsi="Lora"/>
          <w:b w:val="1"/>
          <w:color w:val="366091"/>
          <w:sz w:val="26"/>
          <w:szCs w:val="26"/>
        </w:rPr>
        <w:sectPr>
          <w:pgSz w:h="15840" w:w="12240" w:orient="portrait"/>
          <w:pgMar w:bottom="720" w:top="720" w:left="431.99999999999994" w:right="431.99999999999994" w:header="720" w:footer="720"/>
          <w:pgNumType w:start="1"/>
        </w:sectPr>
      </w:pPr>
      <w:r w:rsidDel="00000000" w:rsidR="00000000" w:rsidRPr="00000000">
        <w:rPr>
          <w:rtl w:val="0"/>
        </w:rPr>
      </w:r>
    </w:p>
    <w:p w:rsidR="00000000" w:rsidDel="00000000" w:rsidP="00000000" w:rsidRDefault="00000000" w:rsidRPr="00000000" w14:paraId="00000002">
      <w:pPr>
        <w:widowControl w:val="0"/>
        <w:spacing w:before="707.87353515625" w:line="240" w:lineRule="auto"/>
        <w:rPr>
          <w:rFonts w:ascii="Cambria" w:cs="Cambria" w:eastAsia="Cambria" w:hAnsi="Cambria"/>
          <w:b w:val="1"/>
          <w:i w:val="1"/>
          <w:color w:val="cc0000"/>
        </w:rPr>
      </w:pPr>
      <w:r w:rsidDel="00000000" w:rsidR="00000000" w:rsidRPr="00000000">
        <w:rPr>
          <w:rFonts w:ascii="Cambria" w:cs="Cambria" w:eastAsia="Cambria" w:hAnsi="Cambria"/>
          <w:b w:val="1"/>
          <w:i w:val="1"/>
          <w:color w:val="cc0000"/>
          <w:rtl w:val="0"/>
        </w:rPr>
        <w:t xml:space="preserve">Below are descriptions from the MAPHN By-Laws of the Offices up for election in 2024: </w:t>
      </w:r>
    </w:p>
    <w:p w:rsidR="00000000" w:rsidDel="00000000" w:rsidP="00000000" w:rsidRDefault="00000000" w:rsidRPr="00000000" w14:paraId="00000003">
      <w:pPr>
        <w:widowControl w:val="0"/>
        <w:spacing w:before="248.41552734375" w:line="366.0645389556885" w:lineRule="auto"/>
        <w:ind w:right="676.644287109375"/>
        <w:rPr>
          <w:rFonts w:ascii="Cambria" w:cs="Cambria" w:eastAsia="Cambria" w:hAnsi="Cambria"/>
          <w:b w:val="1"/>
          <w:color w:val="c00000"/>
        </w:rPr>
      </w:pPr>
      <w:r w:rsidDel="00000000" w:rsidR="00000000" w:rsidRPr="00000000">
        <w:rPr>
          <w:rFonts w:ascii="Cambria" w:cs="Cambria" w:eastAsia="Cambria" w:hAnsi="Cambria"/>
          <w:b w:val="1"/>
          <w:i w:val="1"/>
          <w:color w:val="c00000"/>
          <w:rtl w:val="0"/>
        </w:rPr>
        <w:t xml:space="preserve">President-Elect</w:t>
      </w:r>
      <w:r w:rsidDel="00000000" w:rsidR="00000000" w:rsidRPr="00000000">
        <w:rPr>
          <w:rFonts w:ascii="Cambria" w:cs="Cambria" w:eastAsia="Cambria" w:hAnsi="Cambria"/>
          <w:b w:val="1"/>
          <w:color w:val="c00000"/>
          <w:rtl w:val="0"/>
        </w:rPr>
        <w:t xml:space="preserve">: </w:t>
      </w:r>
    </w:p>
    <w:p w:rsidR="00000000" w:rsidDel="00000000" w:rsidP="00000000" w:rsidRDefault="00000000" w:rsidRPr="00000000" w14:paraId="00000004">
      <w:pPr>
        <w:widowControl w:val="0"/>
        <w:spacing w:before="248.41552734375" w:line="366.0645389556885" w:lineRule="auto"/>
        <w:ind w:right="676.644287109375"/>
        <w:rPr>
          <w:rFonts w:ascii="Lora" w:cs="Lora" w:eastAsia="Lora" w:hAnsi="Lora"/>
        </w:rPr>
      </w:pPr>
      <w:r w:rsidDel="00000000" w:rsidR="00000000" w:rsidRPr="00000000">
        <w:rPr>
          <w:rFonts w:ascii="Calibri" w:cs="Calibri" w:eastAsia="Calibri" w:hAnsi="Calibri"/>
          <w:rtl w:val="0"/>
        </w:rPr>
        <w:t xml:space="preserve">The President-Elect, serving a 1 year term, collaborates with the President to learn the role of the President, to become familiar with the programs of the Association and its governance, and to develop and facilitate officer transition. The President-Elect assists and supports the President as an Ex-Officio Member of all committees with the exception of By-Laws and Nominating Committee. The President-Elect assists as needed and plans for transition to their Presidential year. The President-Elect shall automatically become President at the end of the term of President-Elect. </w:t>
      </w:r>
      <w:r w:rsidDel="00000000" w:rsidR="00000000" w:rsidRPr="00000000">
        <w:rPr>
          <w:rtl w:val="0"/>
        </w:rPr>
      </w:r>
    </w:p>
    <w:p w:rsidR="00000000" w:rsidDel="00000000" w:rsidP="00000000" w:rsidRDefault="00000000" w:rsidRPr="00000000" w14:paraId="00000005">
      <w:pPr>
        <w:widowControl w:val="0"/>
        <w:spacing w:before="248.41552734375" w:line="366.0645389556885" w:lineRule="auto"/>
        <w:ind w:right="676.644287109375"/>
        <w:rPr>
          <w:rFonts w:ascii="Calibri" w:cs="Calibri" w:eastAsia="Calibri" w:hAnsi="Calibri"/>
        </w:rPr>
      </w:pPr>
      <w:r w:rsidDel="00000000" w:rsidR="00000000" w:rsidRPr="00000000">
        <w:rPr>
          <w:rFonts w:ascii="Cambria" w:cs="Cambria" w:eastAsia="Cambria" w:hAnsi="Cambria"/>
          <w:b w:val="1"/>
          <w:i w:val="1"/>
          <w:color w:val="c00000"/>
          <w:rtl w:val="0"/>
        </w:rPr>
        <w:t xml:space="preserve">Vice President: </w:t>
      </w:r>
      <w:r w:rsidDel="00000000" w:rsidR="00000000" w:rsidRPr="00000000">
        <w:rPr>
          <w:rFonts w:ascii="Calibri" w:cs="Calibri" w:eastAsia="Calibri" w:hAnsi="Calibri"/>
          <w:rtl w:val="0"/>
        </w:rPr>
        <w:t xml:space="preserve">The Vice President assists the presiding President, accepting special assignments, and, upon the absence or disability of the President, performs the duties and exercises the powers of the President.</w:t>
      </w:r>
    </w:p>
    <w:p w:rsidR="00000000" w:rsidDel="00000000" w:rsidP="00000000" w:rsidRDefault="00000000" w:rsidRPr="00000000" w14:paraId="00000006">
      <w:pPr>
        <w:widowControl w:val="0"/>
        <w:spacing w:before="248.41552734375" w:line="366.0645389556885" w:lineRule="auto"/>
        <w:ind w:right="676.644287109375"/>
        <w:rPr>
          <w:rFonts w:ascii="Calibri" w:cs="Calibri" w:eastAsia="Calibri" w:hAnsi="Calibri"/>
        </w:rPr>
        <w:sectPr>
          <w:type w:val="continuous"/>
          <w:pgSz w:h="15840" w:w="12240" w:orient="portrait"/>
          <w:pgMar w:bottom="900" w:top="1440" w:left="990" w:right="1080" w:header="720" w:footer="720"/>
        </w:sectPr>
      </w:pPr>
      <w:r w:rsidDel="00000000" w:rsidR="00000000" w:rsidRPr="00000000">
        <w:rPr>
          <w:rFonts w:ascii="Cambria" w:cs="Cambria" w:eastAsia="Cambria" w:hAnsi="Cambria"/>
          <w:b w:val="1"/>
          <w:i w:val="1"/>
          <w:color w:val="c00000"/>
          <w:rtl w:val="0"/>
        </w:rPr>
        <w:t xml:space="preserve">Treasurer:</w:t>
      </w:r>
      <w:r w:rsidDel="00000000" w:rsidR="00000000" w:rsidRPr="00000000">
        <w:rPr>
          <w:rFonts w:ascii="Lora" w:cs="Lora" w:eastAsia="Lora" w:hAnsi="Lora"/>
          <w:rtl w:val="0"/>
        </w:rPr>
        <w:t xml:space="preserve">  </w:t>
      </w:r>
      <w:r w:rsidDel="00000000" w:rsidR="00000000" w:rsidRPr="00000000">
        <w:rPr>
          <w:rFonts w:ascii="Calibri" w:cs="Calibri" w:eastAsia="Calibri" w:hAnsi="Calibri"/>
          <w:rtl w:val="0"/>
        </w:rPr>
        <w:t xml:space="preserve">The Treasurer provides quarterly and annual treasury reports to the Board of Directors of income and expenses for reporting requirements.  The Treasurer also assists the Executive Director to ensure that the financial records are complete and in good order for annual audit purposes; and makes any recommendations to the Board of Directors, President and/or Executive Committee regarding dues, reimbursements and spending requests.</w:t>
      </w:r>
    </w:p>
    <w:p w:rsidR="00000000" w:rsidDel="00000000" w:rsidP="00000000" w:rsidRDefault="00000000" w:rsidRPr="00000000" w14:paraId="00000007">
      <w:pPr>
        <w:spacing w:before="200" w:line="276" w:lineRule="auto"/>
        <w:rPr>
          <w:rFonts w:ascii="Lora" w:cs="Lora" w:eastAsia="Lora" w:hAnsi="Lora"/>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sectPr>
      <w:type w:val="continuous"/>
      <w:pgSz w:h="15840" w:w="12240" w:orient="portrait"/>
      <w:pgMar w:bottom="900" w:top="1440" w:left="990" w:right="10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